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5F7001" w:rsidRDefault="00CD5574" w:rsidP="00CC1B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13666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CD5574" w:rsidRPr="005F7001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проведения плановой проверки</w:t>
      </w:r>
    </w:p>
    <w:p w:rsidR="00CD5574" w:rsidRPr="005F7001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136667" w:rsidRPr="005F7001" w:rsidRDefault="00CD5574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закупок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муниципальным бюджетным</w:t>
      </w:r>
      <w:r w:rsidR="00C400DE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36667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учреждением </w:t>
      </w:r>
    </w:p>
    <w:p w:rsidR="00136667" w:rsidRPr="005F7001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дополнительного образования Дом детского творчества </w:t>
      </w:r>
    </w:p>
    <w:p w:rsidR="00136667" w:rsidRPr="005F7001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 Щербиновский</w:t>
      </w:r>
    </w:p>
    <w:p w:rsidR="00FA34E1" w:rsidRPr="005F7001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район станица Старощербиновская</w:t>
      </w:r>
    </w:p>
    <w:p w:rsidR="00136667" w:rsidRPr="005F7001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6667" w:rsidRPr="005F7001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CF6D88" w:rsidRPr="005F7001" w:rsidTr="00BF6AA7">
        <w:tc>
          <w:tcPr>
            <w:tcW w:w="4926" w:type="dxa"/>
          </w:tcPr>
          <w:p w:rsidR="00CD5574" w:rsidRPr="005F7001" w:rsidRDefault="00C400DE" w:rsidP="00136667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36667"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6667"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мая</w:t>
            </w:r>
            <w:r w:rsidR="00CD5574"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0233F3"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D5574"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5F7001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CF6D88" w:rsidRPr="005F7001" w:rsidTr="00BF6AA7">
        <w:tc>
          <w:tcPr>
            <w:tcW w:w="4926" w:type="dxa"/>
          </w:tcPr>
          <w:p w:rsidR="00CD5574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6CBC" w:rsidRPr="005F7001" w:rsidRDefault="00896CBC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5F7001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Щербиновский район от </w:t>
      </w:r>
      <w:r w:rsidR="0013666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AB4B9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666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="00AB4B9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13666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128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проведении план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проверки», </w:t>
      </w:r>
      <w:r w:rsidR="0013666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пунктом 3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проведения администрацией муниципального образования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от 28 декабря 2023 года</w:t>
      </w:r>
      <w:proofErr w:type="gramEnd"/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902 «Об утверждении Плана проведения админ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пров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4B97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2025 год»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комиссией администрации муниципального образования Щербино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 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05263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комиссия)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составе: </w:t>
      </w:r>
    </w:p>
    <w:p w:rsidR="00CD5574" w:rsidRPr="005F7001" w:rsidRDefault="008A0A9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Белой Екатерины Сергеевны -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начальника отдела </w:t>
      </w:r>
      <w:r w:rsidR="00CD5574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ко</w:t>
      </w:r>
      <w:r w:rsidR="00CD5574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CD5574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троля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пальный 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руководителя комиссии;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пального контроля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Щербино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 Краснодарского края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члена комиссии,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13666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апреля</w:t>
      </w:r>
      <w:r w:rsidR="00F2483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 по 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апреля</w:t>
      </w:r>
      <w:r w:rsidR="00F2483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c 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апреля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мая</w:t>
      </w:r>
      <w:r w:rsidR="00F2483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1A7D3F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нормы, цитиру</w:t>
      </w:r>
      <w:r w:rsidR="001A7D3F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1A7D3F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A7D3F"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B1640" w:rsidRPr="005F7001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Предмет проверки: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 закупок товаров, работ, услуг для обеспечения муниципальных нужд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574" w:rsidRPr="005F7001" w:rsidRDefault="00A82A15" w:rsidP="00ED05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проверки -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</w:t>
      </w:r>
      <w:r w:rsidR="00ED0599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дополн</w:t>
      </w:r>
      <w:r w:rsidR="00ED0599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D0599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образования Дом детского творчества муниципального образования Щербиновский район станица Старощербиновская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Заказчик, Учрежд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ние) извещен о начале проведения плановой проверки уведомлением от 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01-19-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2581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0599" w:rsidRPr="005F7001" w:rsidRDefault="00CD5574" w:rsidP="00ED0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353620</w:t>
      </w:r>
      <w:r w:rsidR="00FA34E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</w:t>
      </w:r>
      <w:r w:rsidR="00FA34E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A34E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дарский край, Щербиновский район, 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 Старощербиновская, ул. Сов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D05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тов, д.56.</w:t>
      </w:r>
    </w:p>
    <w:p w:rsidR="00CD5574" w:rsidRPr="005F7001" w:rsidRDefault="00CD5574" w:rsidP="00ED0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5F7001" w:rsidRDefault="00CD5574" w:rsidP="00FA34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естра юридических лиц от </w:t>
      </w:r>
      <w:r w:rsidR="0020727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марта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A34E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ЮЭ9965-</w:t>
      </w:r>
      <w:r w:rsidR="003B176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25-</w:t>
      </w:r>
      <w:r w:rsidR="0020727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34826971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D5574" w:rsidRPr="005F7001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</w:t>
      </w:r>
      <w:r w:rsidR="0020727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1022305031319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A35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235800</w:t>
      </w:r>
      <w:r w:rsidR="0020727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5667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235801001.</w:t>
      </w:r>
    </w:p>
    <w:p w:rsidR="00CD5574" w:rsidRPr="005F7001" w:rsidRDefault="00CD5574" w:rsidP="008223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осуществляет свою деятельность на основании устава, утвержденного </w:t>
      </w:r>
      <w:r w:rsidR="0012559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управления образования администрации муниципал</w:t>
      </w:r>
      <w:r w:rsidR="0012559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12559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образования Щербиновский район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82232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февраля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12559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232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82232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232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</w:t>
      </w:r>
      <w:r w:rsidR="0012559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ждении 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става </w:t>
      </w:r>
      <w:r w:rsidR="0012559D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116BD5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822325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дополн</w:t>
      </w:r>
      <w:r w:rsidR="00822325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22325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образования Дом детского творчества муниципального образования Щербиновский район станица Старощербиновская»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Устав).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 организации </w:t>
      </w:r>
      <w:r w:rsidR="00896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дополнител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образования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Организацион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но-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правовая форма - учреждение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5F7001" w:rsidRDefault="00A40424" w:rsidP="008B16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1.6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установлено, что учредителем и собственником имущества Учреждения является муниципальное образование Щербиновский район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 и полномочия учредителя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 от имени муниципал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образования Щербиновский район выполняет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</w:t>
      </w:r>
      <w:r w:rsidR="008B164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Щербиновский район в лице управления образ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вания администрации муниципального образования Щербиновский район </w:t>
      </w:r>
      <w:r w:rsidR="008B164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- Учредитель)</w:t>
      </w:r>
      <w:r w:rsidR="004B64D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0FD1" w:rsidRPr="005F7001" w:rsidRDefault="00CD5574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</w:t>
      </w:r>
      <w:r w:rsidR="00A70FD1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1.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11</w:t>
      </w:r>
      <w:r w:rsidR="00A70FD1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. Устава Учреждение является юридич</w:t>
      </w:r>
      <w:r w:rsidR="00A70FD1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="00A70FD1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ским лицом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, имеет в оперативном управлении обособленное имущество, сам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</w:t>
      </w:r>
      <w:r w:rsidR="00A40424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стоятельный баланс</w:t>
      </w:r>
      <w:r w:rsidR="0069227D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, счета в органах, осуществляющих исполнение бюджета муниципального образования Щербиновский район, печать с полным наимен</w:t>
      </w:r>
      <w:r w:rsidR="0069227D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</w:t>
      </w:r>
      <w:r w:rsidR="0069227D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ванием на русском языке, штамп и бланки 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со своим наименованием устано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ленного образца, а также зарегистрированную в установленном порядке эмбл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му. Для достижения целей своей деятельности Учреждение вправе приобретать личные имущественные и неимущественные права, </w:t>
      </w:r>
      <w:proofErr w:type="gramStart"/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нести обязанности</w:t>
      </w:r>
      <w:proofErr w:type="gramEnd"/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, выст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у</w:t>
      </w:r>
      <w:r w:rsidR="00B8698A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пать в качестве истца</w:t>
      </w:r>
      <w:r w:rsidR="00F4404F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и ответчика </w:t>
      </w:r>
      <w:r w:rsidR="00B8698A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 третейском суде, суде общей юрисдикции, арбитражном суде.</w:t>
      </w:r>
    </w:p>
    <w:p w:rsidR="00053C92" w:rsidRPr="005F7001" w:rsidRDefault="00053C92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Согласно пункту 7.2 </w:t>
      </w:r>
      <w:r w:rsidR="00D83214"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Устава </w:t>
      </w: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источниками формирования финансовых средств Учреждения являются:</w:t>
      </w:r>
    </w:p>
    <w:p w:rsidR="00053C92" w:rsidRPr="005F7001" w:rsidRDefault="00053C92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средства бюджета муниципального образования Щербиновский район в виде субсидии на выполнение муниципального задания, и на иные цели;</w:t>
      </w:r>
    </w:p>
    <w:p w:rsidR="00053C92" w:rsidRPr="005F7001" w:rsidRDefault="00432CD4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средства, поступающие от приносящей доход деятельности;</w:t>
      </w:r>
    </w:p>
    <w:p w:rsidR="00053C92" w:rsidRPr="005F7001" w:rsidRDefault="00432CD4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lastRenderedPageBreak/>
        <w:t>другие источники в соответствии с законодательством Российской Фед</w:t>
      </w: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рации.</w:t>
      </w:r>
    </w:p>
    <w:p w:rsidR="00D83214" w:rsidRPr="005F7001" w:rsidRDefault="00CD5574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D832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70FD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32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установлено, что </w:t>
      </w:r>
      <w:r w:rsidR="00D832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единоличным исполнительным органом Учреждения является директор 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учр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ждения дополнительного образования Дом детского творчества муниципальн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Щербиновский район станица Старощербиновская (далее - Д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ректор учреждения) который осуществляет текущее руководство деятельн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83214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стью Учреждения.</w:t>
      </w:r>
    </w:p>
    <w:p w:rsidR="00D83214" w:rsidRPr="005F7001" w:rsidRDefault="00D83214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5.2 Устава Директор учреждения назначается на дол</w:t>
      </w:r>
      <w:r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и освобождается от нее приказом </w:t>
      </w:r>
      <w:proofErr w:type="gramStart"/>
      <w:r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Учредителя</w:t>
      </w:r>
      <w:proofErr w:type="gramEnd"/>
      <w:r w:rsidR="00A54E0A"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 установленном законодательством Российской Федерации</w:t>
      </w:r>
      <w:r w:rsidRPr="005F70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5574" w:rsidRPr="005F7001" w:rsidRDefault="00CD5574" w:rsidP="000E28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руководство Учреждением осу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ществляло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ностное лицо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начальника управления образования адм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нистрации муниципального образования</w:t>
      </w:r>
      <w:proofErr w:type="gramEnd"/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Щербиновский район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F1D4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00804E4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04E4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 «О назначении </w:t>
      </w:r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А.В. </w:t>
      </w:r>
      <w:proofErr w:type="spellStart"/>
      <w:r w:rsidR="000E28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Приймак</w:t>
      </w:r>
      <w:proofErr w:type="spellEnd"/>
      <w:r w:rsidR="0099278B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04E4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A02919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ствующи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контрактны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управляющи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бюджетного учреждения дополнительного образования Дом детского творч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ства муниципального образования Щербиновский район станица Старощерб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новская</w:t>
      </w:r>
      <w:r w:rsidR="00BF6AA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контрактный управляющий Заказчика)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исполнял свои обяза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ности </w:t>
      </w:r>
      <w:r w:rsidR="00997FE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проверяемом периоде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следующих приказов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ного бюджетного учреждения дополнительного образования Дом детского творчества муниципального образования Щербиновский район станица Стар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щербиновская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возложении обязанностей контрактного управляющего</w:t>
      </w:r>
      <w:proofErr w:type="gramEnd"/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ниципальном бюджетном учреждении дополнительного образования Дом де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F129D0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ского творчества муниципального образования Щербиновский район станица Старощербиновская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</w:p>
    <w:p w:rsidR="00A02919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129D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227</w:t>
      </w:r>
      <w:r w:rsidR="00A0291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29D0" w:rsidRPr="005F7001" w:rsidRDefault="00F129D0" w:rsidP="00F12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 декабря 2022 года № 219;</w:t>
      </w:r>
    </w:p>
    <w:p w:rsidR="00F129D0" w:rsidRPr="005F7001" w:rsidRDefault="00F129D0" w:rsidP="00F12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15 декабря 2023 года № 273;</w:t>
      </w:r>
    </w:p>
    <w:p w:rsidR="00A02919" w:rsidRPr="005F7001" w:rsidRDefault="00F129D0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 декабря 2024 года № 274.</w:t>
      </w:r>
    </w:p>
    <w:p w:rsidR="00CD5574" w:rsidRPr="005F7001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</w:t>
      </w:r>
    </w:p>
    <w:p w:rsidR="00CD5574" w:rsidRPr="005F7001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упомянутого принципа раскрывается в статье 9 Закона о 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контрактной системе. Частью 1 вышеуказанной статьи определено, что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письмом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7FE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12 марта 2015 года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 экономич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Методические рекомендации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2.8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Методических рекомендаций отмечено, что обучение в сф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5F7001" w:rsidRDefault="00CD5574" w:rsidP="00A8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 на дату начала проверки контрактным управляющим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казчика пройдено обучение в объеме 144 часов, что подтверждается удостов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рением о повышении квалификации от </w:t>
      </w:r>
      <w:r w:rsidR="00F05DC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апреля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AA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У-ГЗ-25-</w:t>
      </w:r>
      <w:r w:rsidR="00F05DC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программе дополнительного профессионального образования </w:t>
      </w:r>
      <w:r w:rsidR="00BF6AA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квалификации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«Управление государственными и муниципальными закупками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контрактной системе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выданным 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обществом с ограниченной ответственностью 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ентр 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профессионального развития 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072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АНТАРЕС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95C" w:rsidRPr="005F7001" w:rsidRDefault="006F195C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блюдены.</w:t>
      </w:r>
    </w:p>
    <w:p w:rsidR="006F195C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ействующая на дату начала проверки 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олжностная инструкция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трактного управляющего Заказчи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Долж</w:t>
      </w:r>
      <w:r w:rsidR="0052699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ностная инструкция) утве</w:t>
      </w:r>
      <w:r w:rsidR="0052699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2699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ждена 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Директором учреждения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декабря 2024</w:t>
      </w:r>
      <w:r w:rsidR="00C45E1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онтрактный управля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щий Заказчика ознакомлен с данной Должностной инструкцией</w:t>
      </w:r>
      <w:r w:rsidR="006C76B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F093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чем свид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тельствует его подпись. </w:t>
      </w:r>
    </w:p>
    <w:p w:rsidR="00CD5574" w:rsidRPr="005F7001" w:rsidRDefault="00CD5574" w:rsidP="00C5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694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СМП, СОНКО)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объеме не менее чем 25 %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рассчитанного с учетом части 1.1 настоящей статьи, п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проведения открытых конкурентных способов определения поставщиков (по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рядчиков, исполнителей), в которых участниками закупок являются только СМП и СОНКО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смотренных частью 2 настоящей статьи (далее - Отчет), и до 1 апреля года, сл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Федерации.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ектов, реализуемых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проектн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5F7001" w:rsidRDefault="00CD5574" w:rsidP="008A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за 202</w:t>
      </w:r>
      <w:r w:rsidR="00C5694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C5694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положений статьи 193 ГК РФ),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Отчет за 2024 год – не позднее 1 апреля 2025 года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Согласно инфо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мации, полученной из открытой части ЕИС, От</w:t>
      </w:r>
      <w:r w:rsidR="00770B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за 2022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разм</w:t>
      </w:r>
      <w:r w:rsidR="0052699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ещен в ЕИС –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3D1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6F195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</w:t>
      </w:r>
      <w:r w:rsidR="00770B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897B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за 2023 год – 18 марта 2024 года, </w:t>
      </w:r>
      <w:r w:rsidR="006F195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за 202</w:t>
      </w:r>
      <w:r w:rsidR="00897B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год – 27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</w:t>
      </w:r>
      <w:r w:rsidR="00770B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то есть установленный Законом о контрактной системе срок соблюден.</w:t>
      </w:r>
    </w:p>
    <w:p w:rsidR="002B1300" w:rsidRPr="005F7001" w:rsidRDefault="00884B4C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2B130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Отчету Заказчика за 2022 год, объем закупок у СМП, СО</w:t>
      </w:r>
      <w:r w:rsidR="002B130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B130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 2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022</w:t>
      </w:r>
      <w:r w:rsidR="002B130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0,000 00 тыс. руб. (0 %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</w:t>
      </w:r>
      <w:r w:rsidR="002B130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Закона о контрактной системе).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Отчету Заказчика за 2023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о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бъем закупок у СМП, СОНКО в 2023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0,000 00 тыс. руб. (0 %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 объема зак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системе).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Отчету Заказчика за 2024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о</w:t>
      </w:r>
      <w:r w:rsidR="0051281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бъем закупок у СМП, СОНКО в 2024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0,000 00 тыс. руб. (0 %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системе).</w:t>
      </w:r>
    </w:p>
    <w:p w:rsidR="00997FE7" w:rsidRPr="005F7001" w:rsidRDefault="00997FE7" w:rsidP="00CC1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при осуществлении закупок товаров, работ, услуг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анализируемых годах Заказчиком не соблюдены требования части 1 статьи 30 Закона о контрактной системе, об осуществлении закупок у СМП, СОНКО в объеме не менее 25 % в связи с тем, что в вышеуказанных годах закупки тов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работ, услуг осуществлялись без использования конкурентных способов определения поставщико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(подрядчиков, исполнителей). </w:t>
      </w:r>
      <w:proofErr w:type="gramEnd"/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гласно приложению (далее - Требования).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информаци</w:t>
      </w:r>
      <w:r w:rsidR="00946A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содержащейся в Отчете за 2023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ра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ком, установлено следующее.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2 Требований к заполнению формы отчета об объеме закупок у СМП, СОНКО предусмотрена обязанность по указанию в разделе II: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ляют государственную тайну (тыс. руб.);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(тыс. руб.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proofErr w:type="gramEnd"/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ниями пункта 1 части 1 статьи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Закона</w:t>
      </w:r>
      <w:r w:rsidRPr="005F7001">
        <w:rPr>
          <w:color w:val="000000" w:themeColor="text1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системе) и частью 12 статьи 93 Закона</w:t>
      </w:r>
      <w:r w:rsidRPr="005F7001">
        <w:rPr>
          <w:color w:val="000000" w:themeColor="text1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системе, за исключением объема финансового обеспечения для оплаты в отчетном году контрактов, содержащих сведения,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 го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сударственную тайну (тыс. руб.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 о контрактной системе).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 реестра контрактов за 2023 год, представленного Заказчиком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 проверке, установлено, что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 з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чреждения в 2023 году составил </w:t>
      </w:r>
      <w:r w:rsidR="00B87D5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1 053 918,53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Из них закупок товаров, работ, услуг у единственного п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закупок, которые осущест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лены в соответствии с пунктом 25 части 1 статьи 93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по результатам несостоявшегося определения поставщиков (подрядч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ков, исполнителей), проведенного в соответствии с требованиями пункта 1 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1 статьи 30 Закона о контрактной системе) и частью 12 статьи 93 Закона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стеме) в 2023 году осуществлено на общую сумму </w:t>
      </w:r>
      <w:r w:rsidR="00B87D5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1 053 918,53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proofErr w:type="gramEnd"/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в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Отчете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 за 2023 год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размещенном Заказчиком в ЕИС </w:t>
      </w:r>
      <w:r w:rsidR="00B87D5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2024 года указано следующее: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руб.) </w:t>
      </w:r>
      <w:r w:rsidR="00946A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6A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1 707, 658 29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(позиция I раздела II);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частью 12 статьи 93 Закона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году контрактов, содержащих сведения, составляющие го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сударственную тайну (тыс. руб.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946A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6A1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1 707, 658 29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(абзац 4 позиция 2 раздела II).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Вышеуказанные величины показателей не соответствует фактическим данным.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Следовательно, все значения показателей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</w:t>
      </w:r>
      <w:r w:rsidR="00B21E8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2023 год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расчете которых были использованы вышеуказанные недостоверные сведения, также являются недостоверными, что нарушает требования части 3 статьи 7 Закона о контрак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системе.</w:t>
      </w:r>
    </w:p>
    <w:p w:rsidR="002B1300" w:rsidRPr="005F7001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мативных правовых актов о контрактной системе в сфере закупок, несут ди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циплинарную, гражданско-правовую, административную, уголовную отве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CC1BA5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действиях должностного лица Заказчика, разместившего в ЕИС Отчет </w:t>
      </w:r>
    </w:p>
    <w:p w:rsidR="002B1300" w:rsidRPr="005F7001" w:rsidRDefault="002B1300" w:rsidP="00CC1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2023 год (содержащий недостоверную информацию) усматриваются призн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 административного правонарушения, ответственность за которое пред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смотрена частью 1.4 статьи 7.30 КоАП РФ.</w:t>
      </w:r>
    </w:p>
    <w:p w:rsidR="009B4807" w:rsidRPr="005F7001" w:rsidRDefault="002B1300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Датой совершения административного правонарушения является дата размещения в ЕИС Отчета.</w:t>
      </w:r>
    </w:p>
    <w:p w:rsidR="00946A1D" w:rsidRPr="005F7001" w:rsidRDefault="00946A1D" w:rsidP="0094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части 1 статьи 4.5 КоАП РФ</w:t>
      </w:r>
      <w:r w:rsidR="001A7D3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(редакция, действующая на д</w:t>
      </w:r>
      <w:r w:rsidR="001A7D3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A7D3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 совершения административного правонарушения)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 по делу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 административном правонарушении за нарушение законодательства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рушений, предусмотренных статьями 7.29 - 7.32, частью 7 статьи 19.5, статьей 19.7.2 настоящего Кодекса) не может быть вынесено по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истечении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года со дня совершения административного правонарушения.</w:t>
      </w:r>
    </w:p>
    <w:p w:rsidR="00946A1D" w:rsidRPr="005F7001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ственности за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946A1D" w:rsidRPr="005F7001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несвоевременное размещение в ЕИС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 за 2023 год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истек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даты </w:t>
      </w:r>
      <w:r w:rsidR="0055558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плановой проверки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.</w:t>
      </w:r>
    </w:p>
    <w:p w:rsidR="002B1300" w:rsidRPr="005F7001" w:rsidRDefault="009B4807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информации, содержащейся в Отчете за 2024 год, ра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ком, установлено следующее.</w:t>
      </w:r>
    </w:p>
    <w:p w:rsidR="00913108" w:rsidRPr="005F7001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Отчете за 2024 год, размещенном Заказчиком в ЕИС 27 марта 2025 года указано следующее:</w:t>
      </w:r>
    </w:p>
    <w:p w:rsidR="00913108" w:rsidRPr="005F7001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руб.) – 1 859,857 26 (позиция I раздела II);</w:t>
      </w:r>
    </w:p>
    <w:p w:rsidR="00913108" w:rsidRPr="005F7001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частью 12 статьи 93 Закона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айну (тыс. руб.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1 859,857,26 (абзац 4 позиция 2 раздела II).</w:t>
      </w:r>
    </w:p>
    <w:p w:rsidR="009B4807" w:rsidRPr="005F7001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из реестра контрактов за 2024 год, представленного Зака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чиком к проверке, установлено, что 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ждения в 2024 году составил 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1 568 469,93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Из них закупок товаров, работ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услуг у единственного по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закупок, которые осуществлены в соответствии с пунктом 25 части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статьи 93 Закона о ко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по резул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татам несостоявшегося определения поставщиков (подрядчиков, исполнителей), проведенного в соответствии с требованиями пункта 1 части 1 статьи 30 Закона о контрактной системе) и частью 12 </w:t>
      </w:r>
      <w:r w:rsidR="00CC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93 Закона о контрактной си</w:t>
      </w:r>
      <w:r w:rsidR="009E7B3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стеме) в 2024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осуществлено на общую сумму 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1 568 469,93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proofErr w:type="gramEnd"/>
    </w:p>
    <w:p w:rsidR="00084457" w:rsidRPr="005F7001" w:rsidRDefault="000728F0" w:rsidP="00FC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в</w:t>
      </w:r>
      <w:r w:rsidR="00FC109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ышеописанные действия</w:t>
      </w:r>
      <w:r w:rsidR="00706DA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должностного лица Заказчика</w:t>
      </w:r>
      <w:r w:rsidR="00FC109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нарушают положения части 3 статьи 7, части 4.1 статьи 30 Закона о контрак</w:t>
      </w:r>
      <w:r w:rsidR="00FC109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C109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ной, пункта 2 Правил,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содержат признаки административного правонаруш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предусмотренного частью 5 статьи 7.30.1 КоАП РФ.</w:t>
      </w:r>
      <w:proofErr w:type="gramEnd"/>
    </w:p>
    <w:p w:rsidR="000728F0" w:rsidRPr="005F7001" w:rsidRDefault="000728F0" w:rsidP="001A7D3F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5 статьи 7.30.1 КоАП РФ нарушение установленных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конодательством Российской Федерации и иными нормативными правовыми актами о контрактной системе в сфере закупок требований к содержанию 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частями 1, 2 и 9 настоящей статьи, либо </w:t>
      </w:r>
      <w:proofErr w:type="spell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неразмещение</w:t>
      </w:r>
      <w:proofErr w:type="spell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формации и документов в нарушение порядка, установленного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 и иными нормативными правовыми актами о контрактной системе в сфере закупок, за исключением случаев, предусмотре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частями 1 и 9 настоящей статьи, влечет предупреждение или наложение административного штрафа на должностных лиц в размере от трех тысяч до 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сяти тысяч рублей.</w:t>
      </w:r>
    </w:p>
    <w:p w:rsidR="000728F0" w:rsidRPr="005F7001" w:rsidRDefault="000728F0" w:rsidP="001A7D3F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части 1 статьи 4.5 КоАП РФ </w:t>
      </w:r>
      <w:r w:rsidR="009E7B3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следует, что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9E7B31" w:rsidRPr="005F7001" w:rsidRDefault="009E7B31" w:rsidP="009E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Датой совершения административного правонарушения является дата размещения в ЕИС </w:t>
      </w:r>
      <w:r w:rsid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 Заказчика за 2024</w:t>
      </w:r>
      <w:r w:rsidR="00B21E82" w:rsidRPr="00B21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49A0" w:rsidRPr="005F7001" w:rsidRDefault="00AB49A0" w:rsidP="00AB49A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CD5574" w:rsidRPr="005F7001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5F7001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2 статьи 30.</w:t>
      </w:r>
      <w:r w:rsidR="00E627D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Закона о контрактной системе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российских товаров), осуществле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мещения в ЕИС.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сийской Федерации № 2014) утверждены соответствующие требования к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держанию и форме отчета.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закупаемых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4 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постано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ка. 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3 апреля 2023 года (с учето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положений статьи 193 ГК РФ),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за 2023 год – не позднее 1 апреля 2024 года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Отчет за 2024 год - не позднее 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апреля 2025 года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0817E0" w:rsidRPr="005F7001" w:rsidRDefault="00CD5574" w:rsidP="0081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информации, по</w:t>
      </w:r>
      <w:r w:rsidR="00F7765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лученной из открытой части ЕИС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об об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 закупок р</w:t>
      </w:r>
      <w:r w:rsidR="00C06CB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оссийских товаров за 2022 год размещен должностным лицом з</w:t>
      </w:r>
      <w:r w:rsidR="00C06CB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06CB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казчика </w:t>
      </w:r>
      <w:r w:rsidR="00F3781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F7765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E5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="00F7765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="00B13C46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3781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за 2023 год - 19 марта 2024 года, </w:t>
      </w:r>
      <w:r w:rsidR="00B13C46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за 2024 год - </w:t>
      </w:r>
      <w:r w:rsidR="00F3781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F846A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2025 года, </w:t>
      </w:r>
      <w:r w:rsidR="00813CC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с соблюдением срока, установленного ч</w:t>
      </w:r>
      <w:r w:rsidR="00813CC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13CC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стью 2 статьи 30.1 Закона о контрактной системе. </w:t>
      </w:r>
      <w:proofErr w:type="gramEnd"/>
    </w:p>
    <w:p w:rsidR="00CD5574" w:rsidRPr="005F7001" w:rsidRDefault="00CD5574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лялась в соответствии 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5F7001" w:rsidRDefault="00F846AA" w:rsidP="00F8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заказчиком, осущест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25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26 Порядка) плана-графика в ЕИС осущест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порядке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99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в случае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5</w:t>
        </w:r>
      </w:hyperlink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 План-график, разм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от имени заказчика.</w:t>
      </w:r>
    </w:p>
    <w:p w:rsidR="00EB6EE4" w:rsidRPr="005F7001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пр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оверке представленных к проверке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заверенных копий 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 ф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нансово-хозяйственной деятельности Заказчика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что:</w:t>
      </w:r>
      <w:r w:rsidR="00CD557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B6EE4" w:rsidRPr="005F7001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</w:t>
      </w:r>
      <w:r w:rsidRPr="005F7001">
        <w:rPr>
          <w:color w:val="000000" w:themeColor="text1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2023 год и на плановый период 2024 и 2025 годов</w:t>
      </w:r>
      <w:r w:rsidR="0028641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 30 декабря 2022 года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8641F" w:rsidRPr="005F7001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29 декабря 2023 года;</w:t>
      </w:r>
    </w:p>
    <w:p w:rsidR="0028641F" w:rsidRPr="005F7001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 на 2025 год и на плановый период 2026 и 2027 годов утвержден 28 декабря 2024 года.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из открытой части ЕИС, план-график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работ, услуг на 202</w:t>
      </w:r>
      <w:r w:rsidR="001D656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80EF4" w:rsidRPr="005F7001">
        <w:rPr>
          <w:color w:val="000000" w:themeColor="text1"/>
        </w:rPr>
        <w:t xml:space="preserve"> 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 год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план-график закупок товаров, р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бот, услуг на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80EF4" w:rsidRPr="005F7001">
        <w:rPr>
          <w:color w:val="000000" w:themeColor="text1"/>
        </w:rPr>
        <w:t xml:space="preserve"> 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 год</w:t>
      </w:r>
      <w:r w:rsidR="001D656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план-график закупок товаров, работ, услуг на </w:t>
      </w:r>
      <w:r w:rsidR="001D656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финансовый 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D80EF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304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</w:t>
      </w:r>
      <w:r w:rsidR="0018304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EB6EE4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57EC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8304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</w:t>
      </w:r>
      <w:r w:rsidR="001D656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</w:t>
      </w:r>
      <w:r w:rsidR="001D656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 2025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5F7001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срок.</w:t>
      </w:r>
    </w:p>
    <w:p w:rsidR="00CD5574" w:rsidRPr="005F7001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представленным к проверке реестрам заключенных контрактов всего в проверяемом периоде Заказчиком заключено 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739 157,86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CD5574" w:rsidRPr="005F7001" w:rsidRDefault="00CD5574" w:rsidP="000D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</w:t>
      </w:r>
      <w:r w:rsidR="0018304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</w:t>
      </w:r>
      <w:r w:rsidR="00FD317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57D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 w:rsidR="001D57D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 (договор) на сумму 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1 034 752,92 руб.</w:t>
      </w:r>
      <w:r w:rsidR="001D57DF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</w:t>
      </w:r>
      <w:r w:rsidR="000A3A9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</w:t>
      </w:r>
      <w:r w:rsidR="000A3A9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Закона о контрактной системе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5F7001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заключено 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1B1A2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1 053 918,53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руб., </w:t>
      </w:r>
      <w:r w:rsidR="004B590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4 части 1 статьи 93 Закона о контрактной сист</w:t>
      </w:r>
      <w:r w:rsidR="004B590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B590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B590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D3E9C" w:rsidRPr="005F7001" w:rsidRDefault="000D3E9C" w:rsidP="000D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2024 году заключено 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1 568 469,93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соответствии с пунктом 4 части 1 статьи 93 Закона о контрактной системе; </w:t>
      </w:r>
    </w:p>
    <w:p w:rsidR="00CD5574" w:rsidRPr="005F7001" w:rsidRDefault="00CD5574" w:rsidP="00555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емом периоде 202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заключено 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555BD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1 082 016,48 руб.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0A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5 части 1 статьи 93 Закона о контрактной системе</w:t>
      </w:r>
      <w:r w:rsidR="000D3E9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5F7001" w:rsidRDefault="00CD5574" w:rsidP="00CD5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ных финанс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ов Краснодарского края» (далее -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Распоряжение № 255-р) 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пок (на 2023 год -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</w:t>
      </w:r>
      <w:r w:rsidR="00A82A15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%, 2024 год - 65 %, 2025 год -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 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посредством региональной информ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контрактной системе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В </w:t>
      </w:r>
      <w:r w:rsidR="00CF6D88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2023, 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202</w:t>
      </w:r>
      <w:r w:rsidR="00BF2A96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4</w:t>
      </w:r>
      <w:r w:rsidR="00CF6D88"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годах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доля таких закупок, осуществле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ных Заказчиком, составила 0,00 %.</w:t>
      </w:r>
    </w:p>
    <w:p w:rsidR="00343A5D" w:rsidRPr="005F7001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343A5D" w:rsidRPr="005F7001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результатам первого этапа плановой проверки, на котором проверке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подлежали закупки, находящиеся в стадии определения поставщика (подрядч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пок. </w:t>
      </w:r>
    </w:p>
    <w:p w:rsidR="00343A5D" w:rsidRPr="005F7001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CF6D88" w:rsidRPr="005F7001" w:rsidRDefault="00343A5D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CF6D88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="00CF6D88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F6D88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ка, исполнителя).</w:t>
      </w:r>
    </w:p>
    <w:p w:rsidR="00CF6D88" w:rsidRPr="005F7001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CF6D88" w:rsidRPr="005F7001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</w:t>
      </w:r>
      <w:proofErr w:type="gramStart"/>
      <w:r w:rsidR="006F6DA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CF6D88" w:rsidRPr="005F7001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</w:t>
      </w:r>
      <w:r w:rsidR="006F6DA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пункта 4 части 1 статьи 93 Закона </w:t>
      </w:r>
      <w:r w:rsidR="007217C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теме в случае осуществления закупки товара, раб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товара на сум</w:t>
      </w:r>
      <w:r w:rsidR="006F6DA0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му, предусмотренную частью 12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настоящей статьи, если такая закупка осуществляется в электронной форме.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C46C30" w:rsidRPr="005F7001" w:rsidRDefault="00C46C30" w:rsidP="00C46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ru-RU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ru-RU"/>
        </w:rPr>
        <w:t>В проверяемом периоде Заказчиком все закупки товаров, работ или услуг осуществлялись у единственного поставщика (подрядчика, исполнителя) в соо</w:t>
      </w:r>
      <w:r w:rsidRPr="005F7001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ru-RU"/>
        </w:rPr>
        <w:t>т</w:t>
      </w:r>
      <w:r w:rsidRPr="005F7001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ru-RU"/>
        </w:rPr>
        <w:t>ветствии с пунктом 4 части 1 статьи 93 Закона о контрактной системе.</w:t>
      </w:r>
    </w:p>
    <w:p w:rsidR="00C46C30" w:rsidRPr="005F7001" w:rsidRDefault="00C46C30" w:rsidP="00C46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Согласно представленных Заказчиком реестров контрактов, заключенных на основании пункта 4 части 1 статьи 93 Закона</w:t>
      </w:r>
      <w:r w:rsidR="005F7001"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о контрактной системе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, оплата кот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рых осуществлялас</w:t>
      </w:r>
      <w:r w:rsidR="005F7001"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ь за счет бюджетных средств 2022, 2023, 2024 и 2025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годов (с разбивкой по годам), нарушений в части превышения цены контрактов над уст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новленным Законом допустимым размером не установлено.</w:t>
      </w:r>
    </w:p>
    <w:p w:rsidR="00343A5D" w:rsidRPr="005F7001" w:rsidRDefault="00343A5D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Нарушений требований к содержанию и срокам направления в фед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ральный орган исполнительной власти, осуществляющий правоприменител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функции по казначейскому обслуживанию исполнения бюджетов бюдже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системы Российской Федерации, информации и документов по госуда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ственным контрактам (подвергшимся проверке), подлежащих включению в р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естр контрактов, заключенных заказчиками, не установлено.</w:t>
      </w:r>
    </w:p>
    <w:p w:rsidR="00343A5D" w:rsidRPr="005F7001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Согласно части 1 статьи 23</w:t>
      </w:r>
      <w:r w:rsidR="00420EE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</w:t>
      </w:r>
      <w:r w:rsidR="00420EE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20EEA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343A5D" w:rsidRPr="005F7001" w:rsidRDefault="00343A5D" w:rsidP="009454B8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выборочной проверки установлено, что ИКЗ сформ</w:t>
      </w:r>
      <w:r w:rsidR="004D557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ированный 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использованием </w:t>
      </w:r>
      <w:r w:rsidR="004D557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ЕИС в плане-графике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="009454B8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2023 год для закупок, ос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ществленных на основании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</w:t>
      </w:r>
      <w:r w:rsidR="006C43F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57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контрактной системе отсутствует в следующих контрактах:</w:t>
      </w:r>
    </w:p>
    <w:p w:rsidR="00343A5D" w:rsidRPr="005F7001" w:rsidRDefault="009454B8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6 февраля 2023 года № 195990502 на сумму 780,00 руб., заключенный с ПАО «Мегафон», на оказание услуг связи; </w:t>
      </w:r>
    </w:p>
    <w:p w:rsidR="009454B8" w:rsidRPr="005F7001" w:rsidRDefault="009454B8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7 марта 2023 года № 10 на сумму 3 000,00 руб., заключенному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ООО «</w:t>
      </w:r>
      <w:proofErr w:type="gram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Краснодарский</w:t>
      </w:r>
      <w:proofErr w:type="gram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учколлектор</w:t>
      </w:r>
      <w:proofErr w:type="spell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поставку учебно-педагогической д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кументации;</w:t>
      </w:r>
    </w:p>
    <w:p w:rsidR="00BF319E" w:rsidRPr="005F7001" w:rsidRDefault="009454B8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6 декабря 2023 года № 550271 на сумму 34 538,37 руб., заключенному 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публичным акционерным обществом «ТНС энерго Кубань» на энергоснабж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r w:rsidR="00804131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3A5D" w:rsidRPr="005F7001" w:rsidRDefault="009E652C" w:rsidP="009E6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без использования ЕИС, </w:t>
      </w:r>
      <w:r w:rsidR="00C624D9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 мая 2022 года 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заказчиков соста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 не более 10 рабочих дней с даты подписания документа о приемке, пред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смотренного </w:t>
      </w:r>
      <w:hyperlink r:id="rId17" w:anchor="/document/76800893/entry/947" w:history="1">
        <w:r w:rsidR="00343A5D"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</w:t>
        </w:r>
        <w:proofErr w:type="gramEnd"/>
        <w:r w:rsidR="00343A5D" w:rsidRPr="005F70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7 статьи 94</w:t>
        </w:r>
      </w:hyperlink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(за исключением </w:t>
      </w:r>
      <w:r w:rsidR="00343A5D" w:rsidRPr="005F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контрактов содержащих сведения, составляющие государственную тайну)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3A5D" w:rsidRPr="005F7001" w:rsidRDefault="00343A5D" w:rsidP="0034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стеме:</w:t>
      </w:r>
    </w:p>
    <w:p w:rsidR="007E07C7" w:rsidRPr="005F7001" w:rsidRDefault="007E07C7" w:rsidP="007E07C7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договор-контракт от 12 августа 2024 года № 80 на сумму 2 826,25 руб., заключенный с ИП </w:t>
      </w:r>
      <w:proofErr w:type="spell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Егурнева</w:t>
      </w:r>
      <w:proofErr w:type="spell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Григорьевна, на приобретение товара;</w:t>
      </w:r>
    </w:p>
    <w:p w:rsidR="007E07C7" w:rsidRPr="005F7001" w:rsidRDefault="00343A5D" w:rsidP="007E07C7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 w:rsidR="008028C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28C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 2024</w:t>
      </w:r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8028C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8028C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6 500,00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заключе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 </w:t>
      </w:r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="008028CC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Гарантэнергосервис</w:t>
      </w:r>
      <w:proofErr w:type="spellEnd"/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E07C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выполнение работ </w:t>
      </w:r>
      <w:r w:rsidR="007E07C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измерению в электроустановках здания МБУ ДО ДДТ, ст.</w:t>
      </w:r>
      <w:r w:rsidR="00F3781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07C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Старощербиновская, ул.</w:t>
      </w:r>
      <w:r w:rsidR="00F37812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07C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Советов, 56</w:t>
      </w:r>
      <w:r w:rsidR="004948A3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7E07C7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07C7" w:rsidRPr="005F7001" w:rsidRDefault="007E07C7" w:rsidP="007E07C7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договор-контракт от 7 октября 2024 года № 101 на сумму 5 045,00 руб., заключенный с ИП </w:t>
      </w:r>
      <w:proofErr w:type="spellStart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Егурнева</w:t>
      </w:r>
      <w:proofErr w:type="spellEnd"/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Григорьевна, на приобретение товара;</w:t>
      </w:r>
    </w:p>
    <w:p w:rsidR="00343A5D" w:rsidRPr="005F7001" w:rsidRDefault="007E07C7" w:rsidP="00795D8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от 22 декабря 2023 года № 2963 на сумму 12 000,00 руб., закл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 с обществом с ограниченной ответственностью «Карьера», на оказание услуг по специальной оценке условий труда</w:t>
      </w:r>
      <w:r w:rsidR="00343A5D" w:rsidRPr="005F7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5E7A" w:rsidRPr="005F7001" w:rsidRDefault="00355E7A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00B9" w:rsidRPr="005F7001" w:rsidRDefault="001700B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5F7001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CD5574" w:rsidRPr="005F7001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355E7A" w:rsidRPr="005F7001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5F7001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5F7001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Краснодарского края</w:t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</w:t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Е.С. Белая</w:t>
      </w:r>
    </w:p>
    <w:p w:rsidR="0094187D" w:rsidRPr="005F7001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lastRenderedPageBreak/>
        <w:t xml:space="preserve">Главный специалист </w:t>
      </w:r>
    </w:p>
    <w:p w:rsidR="00CD5574" w:rsidRPr="005F7001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отдела</w:t>
      </w:r>
      <w:r w:rsidR="0094187D" w:rsidRPr="005F700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94187D" w:rsidRPr="005F7001" w:rsidRDefault="00CD5574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5F7001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5F7001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Краснодарского края</w:t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</w:t>
      </w:r>
      <w:r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</w:t>
      </w:r>
      <w:r w:rsidR="00CD5574" w:rsidRPr="005F7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И.В. Федорова</w:t>
      </w:r>
      <w:bookmarkEnd w:id="0"/>
    </w:p>
    <w:sectPr w:rsidR="005C16EF" w:rsidRPr="005F7001" w:rsidSect="00896CBC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47" w:rsidRDefault="00095C47">
      <w:pPr>
        <w:spacing w:after="0" w:line="240" w:lineRule="auto"/>
      </w:pPr>
      <w:r>
        <w:separator/>
      </w:r>
    </w:p>
  </w:endnote>
  <w:endnote w:type="continuationSeparator" w:id="0">
    <w:p w:rsidR="00095C47" w:rsidRDefault="0009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47" w:rsidRDefault="00095C47">
      <w:pPr>
        <w:spacing w:after="0" w:line="240" w:lineRule="auto"/>
      </w:pPr>
      <w:r>
        <w:separator/>
      </w:r>
    </w:p>
  </w:footnote>
  <w:footnote w:type="continuationSeparator" w:id="0">
    <w:p w:rsidR="00095C47" w:rsidRDefault="0009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95C47" w:rsidRPr="00942C86" w:rsidRDefault="00095C47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381F2F">
          <w:rPr>
            <w:rFonts w:ascii="Times New Roman" w:hAnsi="Times New Roman"/>
            <w:noProof/>
            <w:sz w:val="28"/>
            <w:szCs w:val="28"/>
          </w:rPr>
          <w:t>15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233F3"/>
    <w:rsid w:val="000255B0"/>
    <w:rsid w:val="00052631"/>
    <w:rsid w:val="00053C92"/>
    <w:rsid w:val="00062A0D"/>
    <w:rsid w:val="0007218E"/>
    <w:rsid w:val="000728F0"/>
    <w:rsid w:val="00077067"/>
    <w:rsid w:val="000817E0"/>
    <w:rsid w:val="00084457"/>
    <w:rsid w:val="00093786"/>
    <w:rsid w:val="00094BA6"/>
    <w:rsid w:val="00095C47"/>
    <w:rsid w:val="0009797D"/>
    <w:rsid w:val="000A3A90"/>
    <w:rsid w:val="000A507B"/>
    <w:rsid w:val="000C4441"/>
    <w:rsid w:val="000D3E9C"/>
    <w:rsid w:val="000D4C5B"/>
    <w:rsid w:val="000D5C25"/>
    <w:rsid w:val="000E281D"/>
    <w:rsid w:val="0011238D"/>
    <w:rsid w:val="00116BD5"/>
    <w:rsid w:val="00117EF5"/>
    <w:rsid w:val="0012559D"/>
    <w:rsid w:val="00136667"/>
    <w:rsid w:val="00140C71"/>
    <w:rsid w:val="00141C09"/>
    <w:rsid w:val="00151F06"/>
    <w:rsid w:val="001549F7"/>
    <w:rsid w:val="001700B9"/>
    <w:rsid w:val="0017136B"/>
    <w:rsid w:val="00181698"/>
    <w:rsid w:val="0018304F"/>
    <w:rsid w:val="00186C0F"/>
    <w:rsid w:val="001A02B6"/>
    <w:rsid w:val="001A7D3F"/>
    <w:rsid w:val="001B1A2C"/>
    <w:rsid w:val="001B7D46"/>
    <w:rsid w:val="001C2286"/>
    <w:rsid w:val="001D57DF"/>
    <w:rsid w:val="001D6561"/>
    <w:rsid w:val="0020727D"/>
    <w:rsid w:val="00210189"/>
    <w:rsid w:val="002170C7"/>
    <w:rsid w:val="00217F0D"/>
    <w:rsid w:val="00220B2B"/>
    <w:rsid w:val="002301B8"/>
    <w:rsid w:val="002379E5"/>
    <w:rsid w:val="00241DB0"/>
    <w:rsid w:val="00244A02"/>
    <w:rsid w:val="00263797"/>
    <w:rsid w:val="00282BFF"/>
    <w:rsid w:val="0028641F"/>
    <w:rsid w:val="002B1300"/>
    <w:rsid w:val="002D4872"/>
    <w:rsid w:val="0032083D"/>
    <w:rsid w:val="00340884"/>
    <w:rsid w:val="00343A5D"/>
    <w:rsid w:val="00355E7A"/>
    <w:rsid w:val="00370405"/>
    <w:rsid w:val="003710BC"/>
    <w:rsid w:val="00375B89"/>
    <w:rsid w:val="00381F2F"/>
    <w:rsid w:val="00385C58"/>
    <w:rsid w:val="003B03DD"/>
    <w:rsid w:val="003B1764"/>
    <w:rsid w:val="003C3A54"/>
    <w:rsid w:val="003D7812"/>
    <w:rsid w:val="004172CB"/>
    <w:rsid w:val="00420EEA"/>
    <w:rsid w:val="00432CD4"/>
    <w:rsid w:val="00444077"/>
    <w:rsid w:val="004652CB"/>
    <w:rsid w:val="00471100"/>
    <w:rsid w:val="0048696C"/>
    <w:rsid w:val="004948A3"/>
    <w:rsid w:val="004A5B04"/>
    <w:rsid w:val="004B31F0"/>
    <w:rsid w:val="004B5903"/>
    <w:rsid w:val="004B64D2"/>
    <w:rsid w:val="004C0D94"/>
    <w:rsid w:val="004D5579"/>
    <w:rsid w:val="004E7DD0"/>
    <w:rsid w:val="00507F6C"/>
    <w:rsid w:val="00512814"/>
    <w:rsid w:val="005235ED"/>
    <w:rsid w:val="00526994"/>
    <w:rsid w:val="0053392A"/>
    <w:rsid w:val="0055089E"/>
    <w:rsid w:val="0055497E"/>
    <w:rsid w:val="0055558C"/>
    <w:rsid w:val="00555BD3"/>
    <w:rsid w:val="00571400"/>
    <w:rsid w:val="005728C1"/>
    <w:rsid w:val="005A647E"/>
    <w:rsid w:val="005A7B6F"/>
    <w:rsid w:val="005B2C61"/>
    <w:rsid w:val="005C16EF"/>
    <w:rsid w:val="005D0972"/>
    <w:rsid w:val="005F0933"/>
    <w:rsid w:val="005F7001"/>
    <w:rsid w:val="00601CC3"/>
    <w:rsid w:val="0063027D"/>
    <w:rsid w:val="00636CD6"/>
    <w:rsid w:val="006555B9"/>
    <w:rsid w:val="0069227D"/>
    <w:rsid w:val="00695FFF"/>
    <w:rsid w:val="006C43FC"/>
    <w:rsid w:val="006C76B4"/>
    <w:rsid w:val="006D3903"/>
    <w:rsid w:val="006F195C"/>
    <w:rsid w:val="006F6DA0"/>
    <w:rsid w:val="00706DAA"/>
    <w:rsid w:val="007155EC"/>
    <w:rsid w:val="007217C9"/>
    <w:rsid w:val="00732F83"/>
    <w:rsid w:val="00760984"/>
    <w:rsid w:val="00760B1F"/>
    <w:rsid w:val="00770BAC"/>
    <w:rsid w:val="00784E89"/>
    <w:rsid w:val="00795D82"/>
    <w:rsid w:val="00797988"/>
    <w:rsid w:val="007E07C7"/>
    <w:rsid w:val="007F1A0B"/>
    <w:rsid w:val="008028CC"/>
    <w:rsid w:val="00804131"/>
    <w:rsid w:val="00804E41"/>
    <w:rsid w:val="00804E50"/>
    <w:rsid w:val="00813CC5"/>
    <w:rsid w:val="00822325"/>
    <w:rsid w:val="00857ECF"/>
    <w:rsid w:val="008705EC"/>
    <w:rsid w:val="00884B4C"/>
    <w:rsid w:val="00896CBC"/>
    <w:rsid w:val="00897BA3"/>
    <w:rsid w:val="008A0A99"/>
    <w:rsid w:val="008A2E53"/>
    <w:rsid w:val="008B1640"/>
    <w:rsid w:val="008B6BC5"/>
    <w:rsid w:val="008D34EC"/>
    <w:rsid w:val="00913108"/>
    <w:rsid w:val="009137CD"/>
    <w:rsid w:val="00914760"/>
    <w:rsid w:val="009377F2"/>
    <w:rsid w:val="009416F6"/>
    <w:rsid w:val="0094187D"/>
    <w:rsid w:val="009454B8"/>
    <w:rsid w:val="00946A1D"/>
    <w:rsid w:val="0098659F"/>
    <w:rsid w:val="0099278B"/>
    <w:rsid w:val="00997FE7"/>
    <w:rsid w:val="009B4807"/>
    <w:rsid w:val="009D66AC"/>
    <w:rsid w:val="009E652C"/>
    <w:rsid w:val="009E7B31"/>
    <w:rsid w:val="009F68F6"/>
    <w:rsid w:val="00A02919"/>
    <w:rsid w:val="00A03B11"/>
    <w:rsid w:val="00A122AF"/>
    <w:rsid w:val="00A213C3"/>
    <w:rsid w:val="00A31948"/>
    <w:rsid w:val="00A40424"/>
    <w:rsid w:val="00A445D8"/>
    <w:rsid w:val="00A521B6"/>
    <w:rsid w:val="00A54E0A"/>
    <w:rsid w:val="00A6603F"/>
    <w:rsid w:val="00A70FD1"/>
    <w:rsid w:val="00A72427"/>
    <w:rsid w:val="00A761CF"/>
    <w:rsid w:val="00A82A15"/>
    <w:rsid w:val="00AB49A0"/>
    <w:rsid w:val="00AB4B97"/>
    <w:rsid w:val="00AD01FB"/>
    <w:rsid w:val="00B008A3"/>
    <w:rsid w:val="00B07244"/>
    <w:rsid w:val="00B13C46"/>
    <w:rsid w:val="00B14A2B"/>
    <w:rsid w:val="00B21E82"/>
    <w:rsid w:val="00B2428B"/>
    <w:rsid w:val="00B35DD1"/>
    <w:rsid w:val="00B70829"/>
    <w:rsid w:val="00B867C9"/>
    <w:rsid w:val="00B8698A"/>
    <w:rsid w:val="00B87D57"/>
    <w:rsid w:val="00BA5B0B"/>
    <w:rsid w:val="00BB7867"/>
    <w:rsid w:val="00BC4075"/>
    <w:rsid w:val="00BF2A96"/>
    <w:rsid w:val="00BF319E"/>
    <w:rsid w:val="00BF6AA7"/>
    <w:rsid w:val="00C04F74"/>
    <w:rsid w:val="00C06CB5"/>
    <w:rsid w:val="00C11CC6"/>
    <w:rsid w:val="00C30721"/>
    <w:rsid w:val="00C400DE"/>
    <w:rsid w:val="00C45E1C"/>
    <w:rsid w:val="00C46C30"/>
    <w:rsid w:val="00C51B68"/>
    <w:rsid w:val="00C56949"/>
    <w:rsid w:val="00C624D9"/>
    <w:rsid w:val="00C71CC1"/>
    <w:rsid w:val="00C72B47"/>
    <w:rsid w:val="00C730F0"/>
    <w:rsid w:val="00C80420"/>
    <w:rsid w:val="00C850BB"/>
    <w:rsid w:val="00CC0045"/>
    <w:rsid w:val="00CC1BA5"/>
    <w:rsid w:val="00CD5574"/>
    <w:rsid w:val="00CE499D"/>
    <w:rsid w:val="00CF1D43"/>
    <w:rsid w:val="00CF6D88"/>
    <w:rsid w:val="00D32519"/>
    <w:rsid w:val="00D32764"/>
    <w:rsid w:val="00D80EF4"/>
    <w:rsid w:val="00D83214"/>
    <w:rsid w:val="00DA341F"/>
    <w:rsid w:val="00DA35E4"/>
    <w:rsid w:val="00DB4ED3"/>
    <w:rsid w:val="00DD20AC"/>
    <w:rsid w:val="00E02202"/>
    <w:rsid w:val="00E279C5"/>
    <w:rsid w:val="00E33D19"/>
    <w:rsid w:val="00E42C24"/>
    <w:rsid w:val="00E627D4"/>
    <w:rsid w:val="00E71752"/>
    <w:rsid w:val="00E97557"/>
    <w:rsid w:val="00EA0172"/>
    <w:rsid w:val="00EB6EE4"/>
    <w:rsid w:val="00EC73FA"/>
    <w:rsid w:val="00ED0599"/>
    <w:rsid w:val="00EF224B"/>
    <w:rsid w:val="00EF7A93"/>
    <w:rsid w:val="00F02D3E"/>
    <w:rsid w:val="00F05DC5"/>
    <w:rsid w:val="00F129D0"/>
    <w:rsid w:val="00F14A1C"/>
    <w:rsid w:val="00F24837"/>
    <w:rsid w:val="00F37812"/>
    <w:rsid w:val="00F4404F"/>
    <w:rsid w:val="00F57A5B"/>
    <w:rsid w:val="00F77655"/>
    <w:rsid w:val="00F846AA"/>
    <w:rsid w:val="00FA34E1"/>
    <w:rsid w:val="00FC1093"/>
    <w:rsid w:val="00FD3177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615D-B79B-44C8-BC0B-F2E315F4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15</Pages>
  <Words>6053</Words>
  <Characters>34507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13</cp:revision>
  <cp:lastPrinted>2025-05-28T14:52:00Z</cp:lastPrinted>
  <dcterms:created xsi:type="dcterms:W3CDTF">2025-05-05T13:39:00Z</dcterms:created>
  <dcterms:modified xsi:type="dcterms:W3CDTF">2025-05-28T15:10:00Z</dcterms:modified>
</cp:coreProperties>
</file>